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59" w:rsidRDefault="00C67159">
      <w:pPr>
        <w:pStyle w:val="PargrafodaLista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lang w:val="pt-BR"/>
        </w:rPr>
      </w:pPr>
      <w:bookmarkStart w:id="0" w:name="_GoBack"/>
      <w:bookmarkEnd w:id="0"/>
    </w:p>
    <w:p w:rsidR="00C67159" w:rsidRDefault="00A96601">
      <w:pPr>
        <w:pStyle w:val="PargrafodaLista"/>
        <w:spacing w:line="360" w:lineRule="auto"/>
        <w:ind w:left="0"/>
        <w:jc w:val="center"/>
        <w:rPr>
          <w:rStyle w:val="ncoradanotaderodap"/>
          <w:rFonts w:ascii="Times New Roman" w:hAnsi="Times New Roman"/>
          <w:b/>
          <w:sz w:val="32"/>
          <w:szCs w:val="32"/>
          <w:lang w:val="pt-BR"/>
        </w:rPr>
      </w:pPr>
      <w:r>
        <w:rPr>
          <w:rFonts w:ascii="Times New Roman" w:hAnsi="Times New Roman"/>
          <w:b/>
          <w:sz w:val="32"/>
          <w:szCs w:val="32"/>
          <w:lang w:val="pt-BR"/>
        </w:rPr>
        <w:t>Semeando Etnomatemática por meio do Jogo Ayó: Colhendo Reflexões dos Sujeitos da Escola Pluricultural Odé Kayodê</w:t>
      </w:r>
      <w:r>
        <w:rPr>
          <w:rStyle w:val="ncoradanotaderodap"/>
          <w:rFonts w:ascii="Times New Roman" w:hAnsi="Times New Roman"/>
          <w:b/>
          <w:sz w:val="32"/>
          <w:szCs w:val="32"/>
          <w:lang w:val="pt-BR"/>
        </w:rPr>
        <w:footnoteReference w:id="1"/>
      </w:r>
    </w:p>
    <w:p w:rsidR="00C67159" w:rsidRDefault="00C67159">
      <w:pPr>
        <w:pStyle w:val="PargrafodaLista"/>
        <w:spacing w:line="360" w:lineRule="auto"/>
        <w:ind w:left="0"/>
        <w:jc w:val="center"/>
        <w:rPr>
          <w:b/>
          <w:i/>
          <w:sz w:val="24"/>
          <w:szCs w:val="24"/>
          <w:lang w:val="pt-BR"/>
        </w:rPr>
      </w:pPr>
    </w:p>
    <w:p w:rsidR="00C67159" w:rsidRDefault="00A96601">
      <w:pPr>
        <w:pStyle w:val="PargrafodaLista"/>
        <w:spacing w:line="360" w:lineRule="auto"/>
        <w:ind w:left="0"/>
        <w:jc w:val="righ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Adriana Ferreira Rebouças Campelo</w:t>
      </w:r>
      <w:r>
        <w:rPr>
          <w:rStyle w:val="ncoradanotaderodap"/>
          <w:rFonts w:ascii="Times New Roman" w:hAnsi="Times New Roman"/>
          <w:sz w:val="24"/>
          <w:szCs w:val="24"/>
          <w:lang w:val="pt-BR"/>
        </w:rPr>
        <w:footnoteReference w:id="2"/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C67159" w:rsidRDefault="00A966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Roberto Barcelos Souza</w:t>
      </w:r>
      <w:r>
        <w:rPr>
          <w:rStyle w:val="ncoradanotaderodap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7159" w:rsidRDefault="00A96601">
      <w:pPr>
        <w:pStyle w:val="PargrafodaLista"/>
        <w:ind w:left="0"/>
        <w:jc w:val="right"/>
        <w:rPr>
          <w:i/>
          <w:sz w:val="24"/>
          <w:szCs w:val="24"/>
          <w:lang w:val="pt-BR"/>
        </w:rPr>
      </w:pPr>
      <w:r>
        <w:rPr>
          <w:i/>
          <w:sz w:val="24"/>
          <w:szCs w:val="24"/>
          <w:lang w:val="pt-BR"/>
        </w:rPr>
        <w:t xml:space="preserve"> </w:t>
      </w:r>
    </w:p>
    <w:p w:rsidR="00C67159" w:rsidRDefault="00A96601">
      <w:pPr>
        <w:pStyle w:val="Textodenotadefim"/>
        <w:jc w:val="right"/>
        <w:rPr>
          <w:rFonts w:cs="Arial"/>
          <w:color w:val="444444"/>
          <w:sz w:val="24"/>
          <w:szCs w:val="24"/>
          <w:shd w:val="clear" w:color="auto" w:fill="FFFFFF"/>
        </w:rPr>
      </w:pPr>
      <w:r>
        <w:rPr>
          <w:rFonts w:cs="Arial"/>
          <w:color w:val="444444"/>
          <w:sz w:val="24"/>
          <w:szCs w:val="24"/>
          <w:shd w:val="clear" w:color="auto" w:fill="FFFFFF"/>
        </w:rPr>
        <w:t xml:space="preserve"> </w:t>
      </w:r>
    </w:p>
    <w:p w:rsidR="00C67159" w:rsidRDefault="00C67159">
      <w:pPr>
        <w:pStyle w:val="Textodenotadefim"/>
        <w:jc w:val="right"/>
      </w:pPr>
    </w:p>
    <w:p w:rsidR="00C67159" w:rsidRDefault="00A96601">
      <w:pPr>
        <w:pStyle w:val="PargrafodaLista"/>
        <w:ind w:left="0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Resumo</w:t>
      </w:r>
      <w:r>
        <w:rPr>
          <w:rFonts w:cs="Arial"/>
          <w:b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0"/>
          <w:szCs w:val="20"/>
          <w:lang w:val="pt-BR"/>
        </w:rPr>
        <w:t xml:space="preserve">Este trabalho tem por objetivo compreender e analisar as </w:t>
      </w:r>
      <w:r>
        <w:rPr>
          <w:rFonts w:ascii="Times New Roman" w:hAnsi="Times New Roman"/>
          <w:sz w:val="20"/>
          <w:szCs w:val="20"/>
          <w:lang w:val="pt-BR"/>
        </w:rPr>
        <w:t>possibilidades de ensino e aprendizagem de matemática, associado ao ensino de história e cultura africana e afro-brasileira, por meio do jogo africano Ayó, da família dos mancalas. Para tanto nos pautamos na concepção teórico e metodológica do Programa Etn</w:t>
      </w:r>
      <w:r>
        <w:rPr>
          <w:rFonts w:ascii="Times New Roman" w:hAnsi="Times New Roman"/>
          <w:sz w:val="20"/>
          <w:szCs w:val="20"/>
          <w:lang w:val="pt-BR"/>
        </w:rPr>
        <w:t>omatemática. Pretende-se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 xml:space="preserve"> contribuir para uma educação matemática que privilegie a relação humana, cultural, histórica, social e a implementação da Lei 10.639/03. Trata-se de uma </w:t>
      </w:r>
      <w:r>
        <w:rPr>
          <w:rFonts w:ascii="Times New Roman" w:hAnsi="Times New Roman"/>
          <w:sz w:val="20"/>
          <w:szCs w:val="20"/>
          <w:lang w:val="pt-BR"/>
        </w:rPr>
        <w:t>pesquisa qualitativa que tem como estudo de caso a Escola Pluricultural Odé Ka</w:t>
      </w:r>
      <w:r>
        <w:rPr>
          <w:rFonts w:ascii="Times New Roman" w:hAnsi="Times New Roman"/>
          <w:sz w:val="20"/>
          <w:szCs w:val="20"/>
          <w:lang w:val="pt-BR"/>
        </w:rPr>
        <w:t xml:space="preserve">yodê que é um projeto do Espaço Cultural Vila Esperança. Os sujeitos foram as crianças do 4º e 5º ano. Neste estudo foi utilizada a modalidade de pesquisa-intervenção, com entrevistas semiestruturadas e ações pedagógicas em sala de aula. 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Intermediado por u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ma ação lúdica e educativa, o jogo Ayó semeia a Etnomatemática, reconhecendo a diversidade cultural e étnica, colaborando para educação das relações etnicorraciais.</w:t>
      </w:r>
    </w:p>
    <w:p w:rsidR="00C67159" w:rsidRDefault="00C67159">
      <w:pPr>
        <w:pStyle w:val="PargrafodaLista"/>
        <w:spacing w:line="360" w:lineRule="auto"/>
        <w:ind w:left="0"/>
        <w:rPr>
          <w:rFonts w:ascii="Times New Roman" w:hAnsi="Times New Roman"/>
          <w:sz w:val="20"/>
          <w:szCs w:val="20"/>
          <w:lang w:val="pt-BR"/>
        </w:rPr>
      </w:pPr>
    </w:p>
    <w:p w:rsidR="00C67159" w:rsidRDefault="00A96601">
      <w:pPr>
        <w:pStyle w:val="PargrafodaLista"/>
        <w:ind w:left="0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Palavras- chave: 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Etnomatemática; Jogo africano Ayó; Lei 10.639/03; Cultura africana e afro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-brasileira; Escola Pluricultural Odé Kayodê.</w:t>
      </w: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C67159" w:rsidRDefault="00A96601">
      <w:pPr>
        <w:pStyle w:val="PargrafodaLista"/>
        <w:ind w:left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Introdução</w:t>
      </w:r>
    </w:p>
    <w:p w:rsidR="00C67159" w:rsidRDefault="00C67159">
      <w:pPr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7159" w:rsidRDefault="00A96601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Potencializar a matemática dos muitos grupos socioculturais que formam a nação brasileira é exercitar uma ecologia das ideias, apostar no valor operativo da diversidade, facilitar a emergência de n</w:t>
      </w:r>
      <w:r>
        <w:rPr>
          <w:rFonts w:ascii="Times New Roman" w:hAnsi="Times New Roman"/>
          <w:color w:val="000000"/>
          <w:sz w:val="20"/>
          <w:szCs w:val="20"/>
        </w:rPr>
        <w:t>ovas leituras de mundo, superar o minimalismo redutor da monocultura da mente e do grande paradigma do Ocidente (VERGANI, 2007, p.5).</w:t>
      </w:r>
    </w:p>
    <w:p w:rsidR="00C67159" w:rsidRDefault="00C67159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7159" w:rsidRDefault="00A96601">
      <w:pPr>
        <w:pStyle w:val="PargrafodaLista"/>
        <w:spacing w:line="360" w:lineRule="auto"/>
        <w:ind w:left="0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lastRenderedPageBreak/>
        <w:t>A matemática, na grande maioria das escolas, ainda é vivenciada como conjunto absoluto de técnicas, um conhecimento pront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o, estático e acabado, que é transmitido aos alunos de forma mecânica e repetitiva. Conforme Dante (1987, p.32) “Em todos os níveis de ensino, é comum que professores e textos resolvam “exercícios modelos ” mostrando como se faz, pedindo em seguida que o e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studante resolva dezenas de problemas semelhantes.” Essa matemática pouco contribui para a construção de sujeitos ativos, muito pelo contrário, levanta barreiras, e incita o poder.</w:t>
      </w:r>
    </w:p>
    <w:p w:rsidR="00C67159" w:rsidRDefault="00A96601">
      <w:pPr>
        <w:pStyle w:val="PargrafodaLista"/>
        <w:spacing w:line="360" w:lineRule="auto"/>
        <w:ind w:left="0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hAnsi="Times New Roman"/>
          <w:color w:val="000000"/>
          <w:sz w:val="24"/>
          <w:szCs w:val="24"/>
          <w:lang w:val="pt-BR"/>
        </w:rPr>
        <w:t>Impulsionados pela insatisfação desse modelo operante que vem perdurando desde as séries inicias até as formações de professores de matemática, que embebidos, e diria contaminados pelos pressupostos etnomatemáticos, que oportunizamos reflexão acerca do pro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cesso de ensino e de aprendizagem em matemática associando ao ensino de história, cultura africana e afro-brasileira, por meio do jogo africano Ayó, da família dos mancalas. </w:t>
      </w:r>
    </w:p>
    <w:p w:rsidR="00C67159" w:rsidRDefault="00A96601">
      <w:pPr>
        <w:pStyle w:val="PargrafodaLista"/>
        <w:spacing w:line="360" w:lineRule="auto"/>
        <w:ind w:left="0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ab/>
        <w:t>Muitos professores de matemática apresentam dificuldades em contribuir para a va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lorização social da história e cultura africana e afro-brasileira. Além do aspecto da dificuldade, tem que, alguns acreditam que essa temática não faz parte de suas aulas. Esses ainda não percebem que por meio da implantação da lei 10.639/03 podemos modifi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car a situação do racismo, ampliando e compreendendo as dimensões culturais, sociais e políticas da matemática.</w:t>
      </w: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A questão aqui abordada diz respeito às contribuições teóricas e metodológicas de atividades, construídas no contexto dos fundamentos do Programa Etnomatemática, que envolvem elementos para uma formação de sujeitos das serieis iniciais reflexivos frente a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valorização da historicidade e cultura afrodescendente verticalizadas no ensino e aprendizagem de matemática. Potencializamos a matemática por intermédio do jogo Ayó de matriz africana, contribuindo para uma educação matemática que privilegie a relação hum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ana, cultural, histórica e social e a implementação da Lei 10.639/03. </w:t>
      </w: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Apresentamos algumas reflexões dos sujeitos da Escola Pluricultural Odé Kayodê no intuito de compreender essa prática pedagógica nesse contexto.</w:t>
      </w:r>
    </w:p>
    <w:p w:rsidR="00C67159" w:rsidRDefault="00C67159">
      <w:pPr>
        <w:pStyle w:val="PargrafodaLista"/>
        <w:ind w:left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C67159" w:rsidRDefault="00A96601">
      <w:pPr>
        <w:pStyle w:val="PargrafodaLista"/>
        <w:ind w:left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1- Relacionando a Lei, o Jogo e a Etnom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atemática </w:t>
      </w:r>
    </w:p>
    <w:p w:rsidR="00C67159" w:rsidRDefault="00A96601">
      <w:pPr>
        <w:pStyle w:val="PargrafodaLista"/>
        <w:ind w:left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A matemática é uma disciplina que se apresenta em destaque em nossos sistemas educacionais. Essa matemática da qual nos referimos, é aquela que se originou das civilizações mediterrâneas, em especial da Grécia Antiga e se impôs a todos como ún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ica e universal. Esse é um pensamento que se faz presente ainda hoje com muita força.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lastRenderedPageBreak/>
        <w:t>D’Ambrosio</w:t>
      </w:r>
      <w:r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(1998, p.10) critica essa universalidade partindo da ideia de que se nenhuma língua, nenhuma religião, nenhuma culinária, nenhuma medicina universalizaram, a 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atemática se impôs e universalizou como uma única e verdadeira forma pensamento lógico e racional.</w:t>
      </w:r>
    </w:p>
    <w:p w:rsidR="00C67159" w:rsidRDefault="00A96601">
      <w:pPr>
        <w:pStyle w:val="PargrafodaLista"/>
        <w:spacing w:line="360" w:lineRule="auto"/>
        <w:ind w:left="0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ab/>
        <w:t>Infelizmente a matemática tem sido utilizada como selecionador social, como filtro para seleção e mantenedora do poder operante e opressor. No intuito de t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ransformar as práticas que operam através dessa concepção opressora de matemática é que nos pautamos na Etnomatemática. </w:t>
      </w: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É notório a compreensão de que a Etnomatemática como um programa de pesquisa que compartilha espaço com a prática escolar, comungando e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fortalecendo a sua essência no cotidiano escolar. Ubiratan D’ Ambrosio, afirma que a “Etnomatemática é a arte ou técnica de explicar, de conhecer, de entender nos diversos contextos culturais” (D’AMBROSIO, p.5, 1998).</w:t>
      </w:r>
    </w:p>
    <w:p w:rsidR="00C67159" w:rsidRDefault="00A96601">
      <w:pPr>
        <w:pStyle w:val="PargrafodaLista"/>
        <w:ind w:left="2268"/>
        <w:rPr>
          <w:rFonts w:ascii="Times New Roman" w:hAnsi="Times New Roman"/>
          <w:color w:val="000000"/>
          <w:sz w:val="20"/>
          <w:szCs w:val="20"/>
          <w:lang w:val="pt-BR"/>
        </w:rPr>
      </w:pPr>
      <w:r>
        <w:rPr>
          <w:rFonts w:ascii="Times New Roman" w:hAnsi="Times New Roman"/>
          <w:color w:val="000000"/>
          <w:sz w:val="20"/>
          <w:szCs w:val="20"/>
          <w:lang w:val="pt-BR"/>
        </w:rPr>
        <w:t>Sintetizando, poderíamos dizer que et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nomatemática é um programa que visa explicar os processos de geração, organização e transmissão do conhecimento em diversos sistemas culturais e as forças interativas que agem nos e entre os três processos. Portanto, o enfoque é holístico. ( D’ Ambrosio, p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.7, 1998)</w:t>
      </w:r>
    </w:p>
    <w:p w:rsidR="00C67159" w:rsidRDefault="00C67159">
      <w:pPr>
        <w:pStyle w:val="PargrafodaLista"/>
        <w:ind w:left="2268"/>
        <w:rPr>
          <w:rFonts w:ascii="Times New Roman" w:hAnsi="Times New Roman"/>
          <w:color w:val="000000"/>
          <w:sz w:val="20"/>
          <w:szCs w:val="20"/>
          <w:lang w:val="pt-BR"/>
        </w:rPr>
      </w:pP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É visto que a Etnomatemática apresenta um irrefutável olhar político, visto que enfatiza e valoriza a matemática exercida por grupos culturais distintos, como grupo de trabalhadores, crianças em diferentes situações, comunidades urbanas e do cam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po, comunidades indígenas e afro-brasileiras. Nesse sentido a Etnomatemática de acordo com D’ Ambrosio (2015, p.9) é “embebida de ética, focalizando na recuperação da dignidade cultural do ser humano”.</w:t>
      </w: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Falar da dignidade humana é repensar toda nossa histór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ia de formação do povo brasileiro. Fomos marcados por uma história que mesmo tendo mais de 500 anos ainda é marcada pela exclusão social. Tivemos na base da formação do povo brasileiro, o que D’Ambrosio (2010, p.41) denomina cultura triangular como resulta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do das tradições europeias, africanas e ameríndias, mas que apresenta em nosso cotidiano escolar somente uma face dessa história que é das tradições europeias. Precisamos equilibrar essa história apresentando as faces indígenas e africanas no intuito de re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lativizar o olhar eurocêntrico. 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 nossa sociedade é plural, étnica e culturalmente, desde os primórdios de sua invenção pela força colonial, só podemos construí-la democraticamente respeitando a diversidade do nosso povo, ou seja, as matrizes étnico-raci</w:t>
      </w:r>
      <w:r>
        <w:rPr>
          <w:rFonts w:ascii="Times New Roman" w:hAnsi="Times New Roman"/>
          <w:color w:val="000000"/>
          <w:sz w:val="20"/>
          <w:szCs w:val="20"/>
        </w:rPr>
        <w:t>ais que deram ao Brasil atual sua feição multicolor composta de índios, negros, orientais, brancos e mestiços (MUNANGA, 2008, p.13-14).</w:t>
      </w:r>
    </w:p>
    <w:p w:rsidR="00C67159" w:rsidRDefault="00A96601">
      <w:pPr>
        <w:pStyle w:val="PargrafodaLista"/>
        <w:spacing w:line="360" w:lineRule="auto"/>
        <w:ind w:left="0" w:firstLine="708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lastRenderedPageBreak/>
        <w:t xml:space="preserve">Resultante de muitas lutas dos movimentos negros no Brasil, temos a Lei 10. 639/03. No intuito de conhecer e ensinar as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histórias e culturas africanas e afro-brasileiras, combatendo o racismo e sendo a educação promotora de igualdades, temos na educação das relações étnico-raciais nas escolas um grande desafio. Essa lei que tornou obrigatório o ensino de histórias e cultura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s africanas e afro-brasileiras nas escolas traz um significado maior do que do que o simples cumprimento de uma lei. Nesse desafio de recriar uma sociedade, temos em frente o desafio de ultrapassar o eurocentrismo, marca tão evidente em nossa educação, con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solidando assim uma educação equalitária e democrática.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Diante desse debate, as educadoras e os educadores brasileiros, que vivem numa sociedade com um histórico intenso de desigualdade, exclusão e discriminação, estão intimados a atender o imperativo tran</w:t>
      </w:r>
      <w:r>
        <w:rPr>
          <w:rFonts w:ascii="Times New Roman" w:hAnsi="Times New Roman"/>
          <w:color w:val="000000"/>
          <w:sz w:val="20"/>
          <w:szCs w:val="20"/>
        </w:rPr>
        <w:t>snacional de garantido que o tempo da escola seja realmente cumprido como um direito social, que garanta, dê espaço, discuta e explore de forma democrática, a vivência da diversidade e possibilidade aos alunos a sua formação enquanto cidadãos e sujeitos em</w:t>
      </w:r>
      <w:r>
        <w:rPr>
          <w:rFonts w:ascii="Times New Roman" w:hAnsi="Times New Roman"/>
          <w:color w:val="000000"/>
          <w:sz w:val="20"/>
          <w:szCs w:val="20"/>
        </w:rPr>
        <w:t>ancipados. Nossos alunos e alunas, ao passarem pela educação básica, precisam vivenciar práticas pedagógicas que lhes possibilitem ampliar o seu universo sociocultural, rever e superar preconceitos, eliminar toda e qualquer forma ou comportamento discrimin</w:t>
      </w:r>
      <w:r>
        <w:rPr>
          <w:rFonts w:ascii="Times New Roman" w:hAnsi="Times New Roman"/>
          <w:color w:val="000000"/>
          <w:sz w:val="20"/>
          <w:szCs w:val="20"/>
        </w:rPr>
        <w:t>atório em relação ao outro. Uma tarefa difícil? Sim, sem dúvida. Porém, essa é a tarefa de todo e qualquer educador, tanto na escola pública quanto na escola privada. Não há como ser educador sem assumir essa postura política, ética e pedagógica. (GOMES, 2</w:t>
      </w:r>
      <w:r>
        <w:rPr>
          <w:rFonts w:ascii="Times New Roman" w:hAnsi="Times New Roman"/>
          <w:color w:val="000000"/>
          <w:sz w:val="20"/>
          <w:szCs w:val="20"/>
        </w:rPr>
        <w:t>006, p. 25-26).</w:t>
      </w:r>
    </w:p>
    <w:p w:rsidR="00C67159" w:rsidRDefault="00A966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 desigualdades sociais e educacionais entre brancos e negros ainda são grandes. Existem pluralidades de formas de ser e de significar o mundo, mas quando nos deparamos com essas formas que são relacionadas a negros e negras, essas são </w:t>
      </w:r>
      <w:r>
        <w:rPr>
          <w:rFonts w:ascii="Times New Roman" w:hAnsi="Times New Roman"/>
          <w:color w:val="000000"/>
          <w:sz w:val="24"/>
          <w:szCs w:val="24"/>
        </w:rPr>
        <w:t>marcadas pelo preconceito racial, que são reproduzidos por meio de imagens estereotipas nos espaços escolares, lugar esse, que contrário é essa prática deveria ser lugar de vivenciar o respeito as diversidades.</w:t>
      </w:r>
    </w:p>
    <w:p w:rsidR="00C67159" w:rsidRDefault="00A966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Sabe-se que, a Lei nº 10639/2013, tornou-se o</w:t>
      </w:r>
      <w:r>
        <w:rPr>
          <w:rFonts w:ascii="Times New Roman" w:hAnsi="Times New Roman"/>
          <w:sz w:val="24"/>
          <w:szCs w:val="24"/>
        </w:rPr>
        <w:t>brigatória nos currículos escolares do ensino público e privado a inclusão da história da África e dos africanos no Brasil, da cultura afro-brasileira e das lutas dos negros no Brasil. É direcionada à educação básica mas tem seus referências na formação de</w:t>
      </w:r>
      <w:r>
        <w:rPr>
          <w:rFonts w:ascii="Times New Roman" w:hAnsi="Times New Roman"/>
          <w:sz w:val="24"/>
          <w:szCs w:val="24"/>
        </w:rPr>
        <w:t xml:space="preserve"> professores no ensino superior por meio da Educação das Relações Étnico-raciais.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dos aspectos legais, é visto que para compreender a história do Brasil precisamos compreender as suas relações com o continente africano. Por sermos brasileiros somos im</w:t>
      </w:r>
      <w:r>
        <w:rPr>
          <w:rFonts w:ascii="Times New Roman" w:hAnsi="Times New Roman"/>
          <w:sz w:val="24"/>
          <w:szCs w:val="24"/>
        </w:rPr>
        <w:t>pregnados de Áfricas. Nesse sentido, a Lei 10.639/03 nos impulsiona a conhecer essa história que nos foi silenciada e ocultada, sendo esse um caminho para nos conhecermos melhor, assim compreendermos a nossa identidade enquanto povo brasileiro de forma mai</w:t>
      </w:r>
      <w:r>
        <w:rPr>
          <w:rFonts w:ascii="Times New Roman" w:hAnsi="Times New Roman"/>
          <w:sz w:val="24"/>
          <w:szCs w:val="24"/>
        </w:rPr>
        <w:t>s consciente.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Pensando na história da humanidade a história da África deveria estar em evidencia, visto que a África é o berço da espécie humana. Por meio das relações que foram surgindo </w:t>
      </w:r>
      <w:r>
        <w:rPr>
          <w:rFonts w:ascii="Times New Roman" w:hAnsi="Times New Roman"/>
          <w:sz w:val="24"/>
          <w:szCs w:val="24"/>
        </w:rPr>
        <w:lastRenderedPageBreak/>
        <w:t>entre africanos e os demais habitantes das outras regiões foram compa</w:t>
      </w:r>
      <w:r>
        <w:rPr>
          <w:rFonts w:ascii="Times New Roman" w:hAnsi="Times New Roman"/>
          <w:sz w:val="24"/>
          <w:szCs w:val="24"/>
        </w:rPr>
        <w:t>rtilhando seus conhecimentos. Uma forma desses conhecimentos terem adentrados as terras brasileiras se expressa bem pelo comércio de escravos e escravas, que teve a duração de mais de três séculos de tráfico. Nessa ruptura brusca com sua terra de origem, n</w:t>
      </w:r>
      <w:r>
        <w:rPr>
          <w:rFonts w:ascii="Times New Roman" w:hAnsi="Times New Roman"/>
          <w:sz w:val="24"/>
          <w:szCs w:val="24"/>
        </w:rPr>
        <w:t xml:space="preserve">ão eram possível carregarem nada consigo além de si próprios, isso quer dizer, seus corpos, suas tradições , suas memórias. 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Partindo da lei, mais do que o cumprir uma determinação legal, é colocar em prática uma educação que combata a exclusão e seja prom</w:t>
      </w:r>
      <w:r>
        <w:rPr>
          <w:rFonts w:ascii="Times New Roman" w:hAnsi="Times New Roman"/>
          <w:sz w:val="24"/>
          <w:szCs w:val="24"/>
        </w:rPr>
        <w:t>otora do respeito pelas diferentes origens da cultura e sociedade brasileira. Fazer essa viagem à África, que está do outro lado do oceano, e ao mesmo tempo em nós, é portanto, fundamental para a formação da consciência social e histórica do povo brasileir</w:t>
      </w:r>
      <w:r>
        <w:rPr>
          <w:rFonts w:ascii="Times New Roman" w:hAnsi="Times New Roman"/>
          <w:sz w:val="24"/>
          <w:szCs w:val="24"/>
        </w:rPr>
        <w:t xml:space="preserve">o. 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escola é um lugar privilegiado, que pode ser de construção de referências positivas para o enfrentamento ao preconceito racial ou de racismo. É papel da escola a valorização das diferenças e desconstrução de estereótipos. A escola deve ser vista, por</w:t>
      </w:r>
      <w:r>
        <w:rPr>
          <w:rFonts w:ascii="Times New Roman" w:hAnsi="Times New Roman"/>
          <w:sz w:val="24"/>
          <w:szCs w:val="24"/>
        </w:rPr>
        <w:t>tanto, como um espaço de transformação social, respeitando as relações étnico-raciais e propondo uma gestão democrática.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[...]a questão racial não se restringe à comunidade negra, e a superação do racismo e da desigualdade racial faz parte da luta pela </w:t>
      </w:r>
      <w:r>
        <w:rPr>
          <w:rFonts w:ascii="Times New Roman" w:hAnsi="Times New Roman"/>
          <w:iCs/>
          <w:sz w:val="20"/>
          <w:szCs w:val="20"/>
        </w:rPr>
        <w:t>construção da cidadania e da democracia para todos. Em uma sociedade multirracial e pluricultural, como é o caso do Brasil, não podemos mais continuar pensando a cidadania e a democracia sem considerar a diversidade e tratamento desigual historicamente imp</w:t>
      </w:r>
      <w:r>
        <w:rPr>
          <w:rFonts w:ascii="Times New Roman" w:hAnsi="Times New Roman"/>
          <w:iCs/>
          <w:sz w:val="20"/>
          <w:szCs w:val="20"/>
        </w:rPr>
        <w:t>osto aos diferentes grupos sociais e étnico-raciais. (GOMES, 2011, p. 70).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Partindo desse ser histórico é que nos deparamos com as várias dimensões do Programa Etnomatemática: histórica, sócio-política, filosófica, cognitiva, pedagógica. O Programa Etnomat</w:t>
      </w:r>
      <w:r>
        <w:rPr>
          <w:rFonts w:ascii="Times New Roman" w:hAnsi="Times New Roman"/>
          <w:sz w:val="24"/>
          <w:szCs w:val="24"/>
        </w:rPr>
        <w:t>emática revela uma grande preocupação com a dimensão política ao estudar história e filosofia da matemática e suas implicações pedagógicas. As pesquisas consistem essencialmente numa investigação holística da geração [cognição], organização intelectual [ep</w:t>
      </w:r>
      <w:r>
        <w:rPr>
          <w:rFonts w:ascii="Times New Roman" w:hAnsi="Times New Roman"/>
          <w:sz w:val="24"/>
          <w:szCs w:val="24"/>
        </w:rPr>
        <w:t xml:space="preserve">istemologia] e social [história] e difusão [educação] do conhecimento matemático, particularmente em culturas consideradas marginais.( P.14 e 15 D’ Ambrosio 2008). 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educador que tem uma postura etnomatemática caminhará em consonância com os grandes objet</w:t>
      </w:r>
      <w:r>
        <w:rPr>
          <w:rFonts w:ascii="Times New Roman" w:hAnsi="Times New Roman"/>
          <w:sz w:val="24"/>
          <w:szCs w:val="24"/>
        </w:rPr>
        <w:t>ivos da Educação Matemática, percebendo o seu aluno como um agente da construção do seu conhecimento.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Nesse sentido, pode-se ver o Programa Etnomatemático como potencializador e dinamizador na implantação da Lei 10.639/03, a partir de novos diálogos e nova</w:t>
      </w:r>
      <w:r>
        <w:rPr>
          <w:rFonts w:ascii="Times New Roman" w:hAnsi="Times New Roman"/>
          <w:sz w:val="20"/>
          <w:szCs w:val="20"/>
        </w:rPr>
        <w:t xml:space="preserve">s posturas, a fim de proporcionar o surgimento de uma educação matemática “ trans”, transformadora, transdisciplinar e trans-histórica em relação à discriminação </w:t>
      </w:r>
      <w:r>
        <w:rPr>
          <w:rFonts w:ascii="Times New Roman" w:hAnsi="Times New Roman"/>
          <w:sz w:val="20"/>
          <w:szCs w:val="20"/>
        </w:rPr>
        <w:lastRenderedPageBreak/>
        <w:t>etnicorracial, contribuindo para o rompimento do racismo científico na prática docente. ( OLIV</w:t>
      </w:r>
      <w:r>
        <w:rPr>
          <w:rFonts w:ascii="Times New Roman" w:hAnsi="Times New Roman"/>
          <w:sz w:val="20"/>
          <w:szCs w:val="20"/>
        </w:rPr>
        <w:t>EIRA, P.8 2012)</w:t>
      </w:r>
    </w:p>
    <w:p w:rsidR="00C67159" w:rsidRDefault="00A96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Por compreendermos o quão é importante o reconhecimento das diversas matemáticas que distintos grupos culturais desenvolvem é que analisamos as possibilidades de ensino e aprendizagem de matemática, associado ao ensino de história, cultura</w:t>
      </w:r>
      <w:r>
        <w:rPr>
          <w:rFonts w:ascii="Times New Roman" w:hAnsi="Times New Roman"/>
          <w:sz w:val="24"/>
          <w:szCs w:val="24"/>
        </w:rPr>
        <w:t xml:space="preserve"> africana e afro-brasileira, por meio do jogo africano Ayó.</w:t>
      </w:r>
    </w:p>
    <w:p w:rsidR="00C67159" w:rsidRDefault="00A966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Trata-se de uma </w:t>
      </w:r>
      <w:r>
        <w:rPr>
          <w:rFonts w:ascii="Times New Roman" w:hAnsi="Times New Roman"/>
          <w:sz w:val="24"/>
          <w:szCs w:val="24"/>
        </w:rPr>
        <w:t>pesquisa qualitativa. Os sujeitos foram as crianças do 4º e 5º ano da Escola Pluricultural Odé Kayodê que é um projeto do Espaço Cultural Vila Esperança. Neste estudo foi utilizada</w:t>
      </w:r>
      <w:r>
        <w:rPr>
          <w:rFonts w:ascii="Times New Roman" w:hAnsi="Times New Roman"/>
          <w:sz w:val="24"/>
          <w:szCs w:val="24"/>
        </w:rPr>
        <w:t xml:space="preserve"> a modalidade de pesquisa-intervenção com entrevistas semiestruturadas e ações pedagógicas em sala de aula.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pesquisa qualitativa ou naturalísta, segundo Bogdan e Biklen ( 1982) envolve a obtenção de dados descritivos, obtidos no contato direto do pesquis</w:t>
      </w:r>
      <w:r>
        <w:rPr>
          <w:rFonts w:ascii="Times New Roman" w:hAnsi="Times New Roman"/>
          <w:sz w:val="20"/>
          <w:szCs w:val="20"/>
        </w:rPr>
        <w:t>ador com a situação estudada, enfatiza mais processo do que o produto e se preocupa em retratar a perspectiva dos participantes ( LUDKE, ANDRÉ; p.13, 2012)</w:t>
      </w:r>
    </w:p>
    <w:p w:rsidR="00C67159" w:rsidRDefault="00A96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Escola Pluricultural Odé Kayodê é reconhecida pelo MEC</w:t>
      </w:r>
      <w:r>
        <w:rPr>
          <w:rFonts w:ascii="Times New Roman" w:hAnsi="Times New Roman"/>
          <w:color w:val="000000"/>
          <w:sz w:val="24"/>
          <w:szCs w:val="24"/>
        </w:rPr>
        <w:t>( Ministério da Educação)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 atende criança</w:t>
      </w:r>
      <w:r>
        <w:rPr>
          <w:rFonts w:ascii="Times New Roman" w:hAnsi="Times New Roman"/>
          <w:sz w:val="24"/>
          <w:szCs w:val="24"/>
        </w:rPr>
        <w:t>s de educação infantil ao quinto ano do ensino fundamental. Ela está situada no Espaço Cultural Vila Esperança, onde foi gerada e nutrida pela filosofia que é sustentada pelo tripé da cultura, arte e educação.</w:t>
      </w:r>
    </w:p>
    <w:p w:rsidR="00C67159" w:rsidRDefault="00A966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trabalho desenvolvido pela Escola Pluricult</w:t>
      </w:r>
      <w:r>
        <w:rPr>
          <w:rFonts w:ascii="Times New Roman" w:hAnsi="Times New Roman"/>
          <w:sz w:val="24"/>
          <w:szCs w:val="24"/>
        </w:rPr>
        <w:t xml:space="preserve">ural Odé Kayodê traz como princípio o respeito à diversidade. Esse posicionamento político e filosófico estampa-se no nome da escola, que traz elementos reflexivos da sua prática. Desmembrando e compreendendo cada parte temos- Pluricultural traz na ação a </w:t>
      </w:r>
      <w:r>
        <w:rPr>
          <w:rFonts w:ascii="Times New Roman" w:hAnsi="Times New Roman"/>
          <w:sz w:val="24"/>
          <w:szCs w:val="24"/>
        </w:rPr>
        <w:t xml:space="preserve">busca a valorização e respeito das características étnicas e culturais de grupos sociais diferentes, oferecendo a leitura ampla da diversidade. Esse nome, Odé Kayodê, de língua africana yorubá, pode trazer estranhamento por não fazer parte do nosso idioma </w:t>
      </w:r>
      <w:r>
        <w:rPr>
          <w:rFonts w:ascii="Times New Roman" w:hAnsi="Times New Roman"/>
          <w:sz w:val="24"/>
          <w:szCs w:val="24"/>
        </w:rPr>
        <w:t>e significa “Caçador que traz alegria”, carrega ou melhor, impulsiona as práticas pedagógicas. O trabalho educativo dedica-se ao diálogo, em que a criança é protagonista e sujeito ativo desse processo.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Zela por desenvolver o sentimento de coletividade, a v</w:t>
      </w:r>
      <w:r>
        <w:rPr>
          <w:rFonts w:ascii="Times New Roman" w:hAnsi="Times New Roman"/>
          <w:sz w:val="20"/>
          <w:szCs w:val="20"/>
        </w:rPr>
        <w:t>alorização e respeito de si mesmo, pelo outro e pelo meio ambiente, pelas culturas africanas, afro-brasileiras e indígenas; buscando reconhecer a identidade brasileira e tornar positivas as relações de gênero, combatendo todos os preconceitos, especialment</w:t>
      </w:r>
      <w:r>
        <w:rPr>
          <w:rFonts w:ascii="Times New Roman" w:hAnsi="Times New Roman"/>
          <w:sz w:val="20"/>
          <w:szCs w:val="20"/>
        </w:rPr>
        <w:t>e os etnicorraciais. ( PPP-ESCOLA PLURICULTURAL ODÉ KAYOÊ, 2016 P. 31)</w:t>
      </w:r>
    </w:p>
    <w:p w:rsidR="00C67159" w:rsidRDefault="00A96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Compreendendo a educação integral dos sujeitos, além das atividades que são referenciadas na base curricular, a proposta de educação da Escola Pluricultural Odé Kayodê privilegia a viv</w:t>
      </w:r>
      <w:r>
        <w:rPr>
          <w:rFonts w:ascii="Times New Roman" w:hAnsi="Times New Roman"/>
          <w:sz w:val="24"/>
          <w:szCs w:val="24"/>
        </w:rPr>
        <w:t xml:space="preserve">ência de atividades culturais, que são realizadas no encontro entre escola e comunidade. São realizadas vivências culturais africanas e indígenas. </w:t>
      </w:r>
    </w:p>
    <w:p w:rsidR="00C67159" w:rsidRDefault="00A96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A vivência cultural africana, denominada Ojó Odé ( em língua yorubá significa o dia do caçador) é uma ação </w:t>
      </w:r>
      <w:r>
        <w:rPr>
          <w:rFonts w:ascii="Times New Roman" w:hAnsi="Times New Roman"/>
          <w:sz w:val="24"/>
          <w:szCs w:val="24"/>
        </w:rPr>
        <w:t>consolidada e em consonância com a lei 10639/39. Nessa proposta são realizados contos em língua yorubá, dança, oficinas, contação do mito africana e é servido o lanche com comidas africanas. A oficina do jogo Ayó, faz parte das oficinas realizadas. A vivên</w:t>
      </w:r>
      <w:r>
        <w:rPr>
          <w:rFonts w:ascii="Times New Roman" w:hAnsi="Times New Roman"/>
          <w:sz w:val="24"/>
          <w:szCs w:val="24"/>
        </w:rPr>
        <w:t xml:space="preserve">cia cultural africana é uma atividade desenvolvida pelo Espaço Cultural Vila Esperança, e as crianças da Escola Pluricultural Odé Kayodê são as privilegiadas participando sempre. </w:t>
      </w:r>
    </w:p>
    <w:p w:rsidR="00C67159" w:rsidRDefault="00C67159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67159" w:rsidRDefault="00A9660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2- O Jogo e a Etnomatemática</w:t>
      </w:r>
      <w:r>
        <w:rPr>
          <w:rFonts w:ascii="Times New Roman" w:hAnsi="Times New Roman"/>
          <w:b/>
          <w:sz w:val="24"/>
          <w:szCs w:val="24"/>
        </w:rPr>
        <w:tab/>
      </w:r>
    </w:p>
    <w:p w:rsidR="00C67159" w:rsidRDefault="00A9660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jogo Ayó, da família dos mancalas, além de </w:t>
      </w:r>
      <w:r>
        <w:rPr>
          <w:rFonts w:ascii="Times New Roman" w:hAnsi="Times New Roman"/>
          <w:sz w:val="24"/>
          <w:szCs w:val="24"/>
        </w:rPr>
        <w:t>ter uma oficina especifica juntamente com essa atividade, ele faz parte do cotidiano das crianças da Escola Pluricultural Odé Kayodê.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Em sala de aula, Etnomatemática pode ser implementada através da investigação da matemática de produtos e práticas cultura</w:t>
      </w:r>
      <w:r>
        <w:rPr>
          <w:rFonts w:ascii="Times New Roman" w:hAnsi="Times New Roman"/>
          <w:color w:val="000000"/>
          <w:sz w:val="20"/>
          <w:szCs w:val="20"/>
        </w:rPr>
        <w:t xml:space="preserve">is-como jogos com pessoas da própria cultura ou através da exploração da matemática de uma cultura diferente, onde os alunos enriquecem sua construção de ideias matemáticas (POWELL e FRANSTEIN, 1997, p.249 apud POWELL e TEMPLE, 2002, p. 91). 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Etnomatemát</w:t>
      </w:r>
      <w:r>
        <w:rPr>
          <w:rFonts w:ascii="Times New Roman" w:hAnsi="Times New Roman"/>
          <w:color w:val="000000"/>
          <w:sz w:val="24"/>
          <w:szCs w:val="24"/>
        </w:rPr>
        <w:t>ica permite refletir sobre conceitos e ideias matemáticas que se fazem presentes nessa prática cultural e educativa do jogo Ayó. Segundo Vergani (2007, p.27) “a matemática é tão universal quanto a capacidade de verbalizar”. Portanto, ela está presente em t</w:t>
      </w:r>
      <w:r>
        <w:rPr>
          <w:rFonts w:ascii="Times New Roman" w:hAnsi="Times New Roman"/>
          <w:color w:val="000000"/>
          <w:sz w:val="24"/>
          <w:szCs w:val="24"/>
        </w:rPr>
        <w:t>udo que fazemos no nosso cotidiano. Por meio da pesquisa intervenção realizada utilizando a entrevista semi estruturada com os sujeitos do quarto e quinto ano da Escola Pluricultural Odé Kayodê, constatamos que o jogo Ayó, da família Mancala, são uma impor</w:t>
      </w:r>
      <w:r>
        <w:rPr>
          <w:rFonts w:ascii="Times New Roman" w:hAnsi="Times New Roman"/>
          <w:color w:val="000000"/>
          <w:sz w:val="24"/>
          <w:szCs w:val="24"/>
        </w:rPr>
        <w:t>tante experiência para contribuir para construção de conhecimentos matemáticos e ainda corroborar para a educação pautada nas relações étnico-raciais e a execução da Lei 10.639/03.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Mancala é o nome genérico intitulado pelos antropólogos para todo o conjunt</w:t>
      </w:r>
      <w:r>
        <w:rPr>
          <w:rFonts w:ascii="Times New Roman" w:hAnsi="Times New Roman"/>
          <w:color w:val="000000"/>
          <w:sz w:val="24"/>
          <w:szCs w:val="24"/>
        </w:rPr>
        <w:t>o de jogos de tabuleiros com várias concavidades que comungam do princípio de distribuição de sementes. A nomenclatura Mancala tem-se a sua origem de naqaala, do árabe significa mover. Atualmente são jogados em toda África, ao sul da Ásia, Américas e na ma</w:t>
      </w:r>
      <w:r>
        <w:rPr>
          <w:rFonts w:ascii="Times New Roman" w:hAnsi="Times New Roman"/>
          <w:color w:val="000000"/>
          <w:sz w:val="24"/>
          <w:szCs w:val="24"/>
        </w:rPr>
        <w:t>ior parte da Oceania. Na EscolaPluricultural Odé Kayodê utilizam-se tabuleiros do Gana, esculpidos na madeira.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nomenclatura e regras utilizadas são do Ayó, que é uma variação do jogo Mancala pertencente à Nigéria e sua regra é similar ao Awalé e Oware.  </w:t>
      </w:r>
      <w:r>
        <w:rPr>
          <w:rFonts w:ascii="Times New Roman" w:hAnsi="Times New Roman"/>
          <w:color w:val="000000"/>
          <w:sz w:val="24"/>
          <w:szCs w:val="24"/>
        </w:rPr>
        <w:t xml:space="preserve">No olhar interdisciplinar de elementos históricos nos permite compreender que a escolha do Ayó não é aleatória. A reflexão do processo de formação histórico do Brasil, no aspecto do sequestro de africanos,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que foram trazidos para o Brasil para o trabalho n</w:t>
      </w:r>
      <w:r>
        <w:rPr>
          <w:rFonts w:ascii="Times New Roman" w:hAnsi="Times New Roman"/>
          <w:color w:val="000000"/>
          <w:sz w:val="24"/>
          <w:szCs w:val="24"/>
        </w:rPr>
        <w:t xml:space="preserve">a condição de escravos, teve um grande de contingente de africanos oriundos da Nigéria. </w:t>
      </w:r>
    </w:p>
    <w:p w:rsidR="00C67159" w:rsidRDefault="00A96601">
      <w:pPr>
        <w:spacing w:before="24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Jogos de tabuleiro são também importantes instrumentos culturais para engajar crianças em explorações intelectuais que frequentemente incorporam interessantes e ricas </w:t>
      </w:r>
      <w:r>
        <w:rPr>
          <w:rFonts w:ascii="Times New Roman" w:hAnsi="Times New Roman"/>
          <w:color w:val="000000"/>
          <w:sz w:val="20"/>
          <w:szCs w:val="20"/>
        </w:rPr>
        <w:t>estruturas matemáticas. Enquanto jogam, crianças constroem estruturas intelectuais que possibilitam que mais tarde sejam construídas e compreendidas complexas ideias matemáticas. (POWELL e TEMPLE, 2002, p. 92).</w:t>
      </w:r>
    </w:p>
    <w:p w:rsidR="00C67159" w:rsidRDefault="00A9660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É percebível que crianças e adultos são atraídas por jogos. Por meio da Etnomatemática, ainda de acordo com Powell e Temple (2002, p. 92), “professores de vários lugares têm notado que os jogos vivenciados em outras culturas ajudam crianças a desenvolver h</w:t>
      </w:r>
      <w:r>
        <w:rPr>
          <w:rFonts w:ascii="Times New Roman" w:hAnsi="Times New Roman"/>
          <w:color w:val="000000"/>
          <w:sz w:val="24"/>
          <w:szCs w:val="24"/>
        </w:rPr>
        <w:t xml:space="preserve">abilidades matemáticas, pensamentos estratégicos além da consciência de sua participação em uma esfera global”. Enquanto jogam a imaginação está sendo estimulada e, concomitantemente, a construção do conhecimento matemático. 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Por meio do jogo, tem-se a pos</w:t>
      </w:r>
      <w:r>
        <w:rPr>
          <w:rFonts w:ascii="Times New Roman" w:hAnsi="Times New Roman"/>
          <w:color w:val="000000"/>
          <w:sz w:val="20"/>
          <w:szCs w:val="20"/>
        </w:rPr>
        <w:t>sibilidade de abrir espaço para a presença do lúdico na escola, não só como sinônimo de recreação e entretenimento, mas permite também o desenvolvimento da criatividade, da iniciativa e da intuição. Dessa forma educadores matemáticos, devem procurar altern</w:t>
      </w:r>
      <w:r>
        <w:rPr>
          <w:rFonts w:ascii="Times New Roman" w:hAnsi="Times New Roman"/>
          <w:color w:val="000000"/>
          <w:sz w:val="20"/>
          <w:szCs w:val="20"/>
        </w:rPr>
        <w:t>ativas para aumentar a motivação da aprendizagem, desenvolver autoconfiança, a organização, a concentração, a atenção, o raciocínio lógico-dedutivo e o senso cooperativo, desenvolvendo a socialização e aumentando as interações  do indivíduo com outras pess</w:t>
      </w:r>
      <w:r>
        <w:rPr>
          <w:rFonts w:ascii="Times New Roman" w:hAnsi="Times New Roman"/>
          <w:color w:val="000000"/>
          <w:sz w:val="20"/>
          <w:szCs w:val="20"/>
        </w:rPr>
        <w:t>oas. Os jogos , se convenientemente planejados, são um recurso pedagógico eficaz para a construção do conhecimento matemático. (MARIM E BARBOSA, 2014 p.230,231)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Além dos conhecimentos matemáticos, o jogo Ayó traz aspectos filosóficos de matriz africana, e </w:t>
      </w:r>
      <w:r>
        <w:rPr>
          <w:rFonts w:ascii="Times New Roman" w:hAnsi="Times New Roman"/>
          <w:color w:val="000000"/>
          <w:sz w:val="24"/>
          <w:szCs w:val="24"/>
        </w:rPr>
        <w:t>se fundamenta segundo Lima, Genka e Lemos (2005, p.54) “ semear para colher, que não varia para eles esse é o segredo da fonte, na prática ancestral africana, a troca”. Ainda segundo estes autores esse “é um importante jogo de reflexão, são frutos das idei</w:t>
      </w:r>
      <w:r>
        <w:rPr>
          <w:rFonts w:ascii="Times New Roman" w:hAnsi="Times New Roman"/>
          <w:color w:val="000000"/>
          <w:sz w:val="24"/>
          <w:szCs w:val="24"/>
        </w:rPr>
        <w:t>as, formas de raciocinar e memória coletiva dos povos que o criaram”. É um jogo em que é exercitado a generosidade pois, para ganhar, o jogador tem que saber doar.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jogo Ayó, assim como os Mancalas oportuniza, segundo Lopes (2008, p.14) “o trabalho com va</w:t>
      </w:r>
      <w:r>
        <w:rPr>
          <w:rFonts w:ascii="Times New Roman" w:hAnsi="Times New Roman"/>
          <w:color w:val="000000"/>
          <w:sz w:val="24"/>
          <w:szCs w:val="24"/>
        </w:rPr>
        <w:t>lores civilizatório africanos como a Ancestralidade, Circularidade, Corporeidade, Cooperativismo, Ludicidade, Memória e Oralidade”. Propicia um trabalho com o jogo Ayó é valorizar à diversidade cultural e apresentando as manifestações culturais, expandindo</w:t>
      </w:r>
      <w:r>
        <w:rPr>
          <w:rFonts w:ascii="Times New Roman" w:hAnsi="Times New Roman"/>
          <w:color w:val="000000"/>
          <w:sz w:val="24"/>
          <w:szCs w:val="24"/>
        </w:rPr>
        <w:t xml:space="preserve"> o conhecimento escolar a partir de elementos da cultura africana, que são raízes da cultura brasileira. 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De acordo com os Parâmetros Curriculares Nacionais, os jogos de tabuleiro, como o Ayó, colaboram com crianças e quem dele faz uso para o desenvolvimen</w:t>
      </w:r>
      <w:r>
        <w:rPr>
          <w:rFonts w:ascii="Times New Roman" w:hAnsi="Times New Roman"/>
          <w:color w:val="000000"/>
          <w:sz w:val="20"/>
          <w:szCs w:val="20"/>
        </w:rPr>
        <w:t>to das capacidades intelectuais, na estruturação do pensamento, na agilização do raciocínio dedutivo, na resolução de problemas, e servem de construção de conhecimento em diferentes áreas de raciocínio. (LOPES,2008, p. 14).</w:t>
      </w:r>
    </w:p>
    <w:p w:rsidR="00C67159" w:rsidRDefault="00A9660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 O jogo Ayó é uma potencialidad</w:t>
      </w:r>
      <w:r>
        <w:rPr>
          <w:rFonts w:ascii="Times New Roman" w:hAnsi="Times New Roman"/>
          <w:color w:val="000000"/>
          <w:sz w:val="24"/>
          <w:szCs w:val="24"/>
        </w:rPr>
        <w:t>e matemática, partindo do princípio que para se jogar não depende da sorte, mas sim um jogo de raciocínio lógico. De acordo com Pereira (2016, P.126) “o jogador desenvolve habilidades e competências de leitura, interpretação, raciocínio, lógica, aritmética</w:t>
      </w:r>
      <w:r>
        <w:rPr>
          <w:rFonts w:ascii="Times New Roman" w:hAnsi="Times New Roman"/>
          <w:color w:val="000000"/>
          <w:sz w:val="24"/>
          <w:szCs w:val="24"/>
        </w:rPr>
        <w:t xml:space="preserve"> e estimativa”. A configuração inicial do tabuleiro traz conceitos aritméticos, podendo apresentar os conceitos de divisão, multiplicação, adição e subtração. O jogo estimula o cálculo mental e a estimativa.  </w:t>
      </w:r>
    </w:p>
    <w:p w:rsidR="00C67159" w:rsidRDefault="00A9660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Na busca de compreender como o jogo é percebi</w:t>
      </w:r>
      <w:r>
        <w:rPr>
          <w:rFonts w:ascii="Times New Roman" w:hAnsi="Times New Roman"/>
          <w:color w:val="000000"/>
          <w:sz w:val="24"/>
          <w:szCs w:val="24"/>
        </w:rPr>
        <w:t>do pelas crianças do quarto e quinto ano da Escola Pluricultural Odé Kayodê é que trago algumas falas e compreensões deles. Para recolher essas informações foi realizada uma roda de conversa onde algumas questões foram apresentadas e eles trouxeram as suas</w:t>
      </w:r>
      <w:r>
        <w:rPr>
          <w:rFonts w:ascii="Times New Roman" w:hAnsi="Times New Roman"/>
          <w:color w:val="000000"/>
          <w:sz w:val="24"/>
          <w:szCs w:val="24"/>
        </w:rPr>
        <w:t xml:space="preserve"> reflexões. No quadro abaixo apresenta a síntese dessas reflexões. No intuito de zelar pela integridade optamos por não trazer nomes.</w:t>
      </w:r>
    </w:p>
    <w:p w:rsidR="00C67159" w:rsidRDefault="00C671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61"/>
      </w:tblGrid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SÍNTESE DIÁLOGOS COMO OS SUJEITOS</w:t>
            </w:r>
          </w:p>
        </w:tc>
      </w:tr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que vocês aprendem com o jogo Ayó?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“ Estratégias, matemática, ajuda a gente a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pensar, história e cultura africana, mitos”</w:t>
            </w:r>
          </w:p>
        </w:tc>
      </w:tr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que vocês conseguem perceber de matemática presente no jogo?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Divisão, Multiplicação, Adição e Subtração”; “ contagem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”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“ Por exemplo: Você tem o tanto de peças em seu tabuleiro, ai você tem que saber que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contar para saber onde quer chegar.”</w:t>
            </w:r>
          </w:p>
        </w:tc>
      </w:tr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Porque que é importante aprendermos sobre a cultura africana?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“Porque é importante para a nossa cultura, porque basicamente não falamos sobre ela. Falamos só sobre as outras culturas. Tipo as de outros lugares. Os port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ugueses.”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“Eles ( a cultura africana) fazem parte dos nossos antepassados. Que nós sempre vamos ter uma raiz africana.”</w:t>
            </w:r>
          </w:p>
        </w:tc>
      </w:tr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Falar da questão africana e afro-brasileira tem a ver com a cor da pele?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“Não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”; “Nós somos negros de raízes”; “Negros por dentro”; Você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pode ser azul, amarelo, verde, da cor que você quiser, mas você vai ser negro pro dentro”</w:t>
            </w:r>
          </w:p>
        </w:tc>
      </w:tr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Aprender sobre a cultura africana e afro-brasileira através do jogo Ayó transforma o quê em cada um de vocês?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“Eu acho que muda muitas coisas. A minha personalidade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também. Porque não é em todas as escolas que você vai aprender sobre as culturas africanas, mesmo tendo lei e tal. Mas se eu não estivesse nessa escola eu não seria a mesma pessoa que sou hoje. Eu acho que a cultura africana agora faz parte de mim”.</w:t>
            </w:r>
          </w:p>
        </w:tc>
      </w:tr>
      <w:tr w:rsidR="00C67159"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Rela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cionando a prática do jogo e pensando no racismo, de que jeito o jogo pode contribuir?</w:t>
            </w:r>
          </w:p>
          <w:p w:rsidR="00C67159" w:rsidRDefault="00A96601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“Eu acho que as pessoas tem que jogar mais ele, é uma maneira de você expressas o ser negro. E abrir as portas para as pessoas olharem as riquezas de ser negro. E com is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so lutar contra o racismo.” </w:t>
            </w:r>
          </w:p>
        </w:tc>
      </w:tr>
    </w:tbl>
    <w:p w:rsidR="00C67159" w:rsidRDefault="00C67159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159" w:rsidRDefault="00A96601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Conclusão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“A escola brasileira não poderá continuar a ignorar/ desprezar a indissociabilidade homem/ cultura: é nela que a criança funda sua dignidade, a confiança no seu saber, o valor da sua experiência e de seu processo </w:t>
      </w:r>
      <w:r>
        <w:rPr>
          <w:rFonts w:ascii="Times New Roman" w:hAnsi="Times New Roman"/>
          <w:sz w:val="20"/>
          <w:szCs w:val="20"/>
        </w:rPr>
        <w:t>singular de autonomia” (VERGANI,2007, p.27).</w:t>
      </w:r>
    </w:p>
    <w:p w:rsidR="00C67159" w:rsidRDefault="00A9660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pesquisa mostra que as reflexões dos sujeitos da Escola Pluricultural Odé Kayodê motivadas pelo jogo Ayó, possibilitou a construção de estruturas intelectuais que são bases de ideias matemáticas, estratégias e</w:t>
      </w:r>
      <w:r>
        <w:rPr>
          <w:rFonts w:ascii="Times New Roman" w:hAnsi="Times New Roman"/>
          <w:color w:val="000000"/>
          <w:sz w:val="24"/>
          <w:szCs w:val="24"/>
        </w:rPr>
        <w:t xml:space="preserve"> teorias, e também uma autonomia e consciência de seu processo de aprendizagem. Além de propiciadora do desenvolvimento de habilidades matemáticas, pensamentos estratégicos, o vivenciar do jogo nos remete a aspectos e elementos de nossas culturas ancestrai</w:t>
      </w:r>
      <w:r>
        <w:rPr>
          <w:rFonts w:ascii="Times New Roman" w:hAnsi="Times New Roman"/>
          <w:color w:val="000000"/>
          <w:sz w:val="24"/>
          <w:szCs w:val="24"/>
        </w:rPr>
        <w:t>s. Intermediado por uma ação lúdica e educativa, o jogo Ayó semeia a Etnomatemática, reconhecendo a diversidade cultural e étnica, colaborando para educação das relações etnicorraciais.</w:t>
      </w:r>
    </w:p>
    <w:p w:rsidR="00C67159" w:rsidRDefault="00A96601">
      <w:pPr>
        <w:spacing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Propomos que as escolas, tendo como ponto de partida o jogo mankala, </w:t>
      </w:r>
      <w:r>
        <w:rPr>
          <w:rFonts w:ascii="Times New Roman" w:hAnsi="Times New Roman"/>
          <w:color w:val="000000"/>
          <w:sz w:val="20"/>
          <w:szCs w:val="20"/>
        </w:rPr>
        <w:t>criem espaços, tempos e recursos que: incorporem à prática elementos da cultura africana, criando assim condições para o exercício da diversidade e do pluralismo cultural; evidenciem a contribuição da cultura africana para o desenvolvimento de aprendizagen</w:t>
      </w:r>
      <w:r>
        <w:rPr>
          <w:rFonts w:ascii="Times New Roman" w:hAnsi="Times New Roman"/>
          <w:color w:val="000000"/>
          <w:sz w:val="20"/>
          <w:szCs w:val="20"/>
        </w:rPr>
        <w:t>s nas dimensões conceituais, procedimentais e atitudinais; estimulem a vivência dos valores civilizatórios afro-brasileiros; contribuam para o desenvolvimento das inteligências múltiplas; coloquem o aluno em contato com a história e cultura africanas de ép</w:t>
      </w:r>
      <w:r>
        <w:rPr>
          <w:rFonts w:ascii="Times New Roman" w:hAnsi="Times New Roman"/>
          <w:color w:val="000000"/>
          <w:sz w:val="20"/>
          <w:szCs w:val="20"/>
        </w:rPr>
        <w:t>ocas posteriores à modernidade; fortaleçam a construção de processo identitário dos alunos, em especial dos afro-brasileiros. (LOPES, p.14 e 15. 2008).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 reflexões apresentadas pelos sujeitos evidencia o quanto uma prática pedagógica lúdica é capaz de efe</w:t>
      </w:r>
      <w:r>
        <w:rPr>
          <w:rFonts w:ascii="Times New Roman" w:hAnsi="Times New Roman"/>
          <w:color w:val="000000"/>
          <w:sz w:val="24"/>
          <w:szCs w:val="24"/>
        </w:rPr>
        <w:t xml:space="preserve">tivar aspectos propostos pela lei 10639.03 e ainda fazer o intercâmbio entre matemática e cultura africana e afro brasileira. </w:t>
      </w:r>
    </w:p>
    <w:p w:rsidR="00C67159" w:rsidRDefault="00A96601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romper das ideias universalistas da matemática se faz necessário dentro de uma ambiente composto de diversidade. A etnomatemáti</w:t>
      </w:r>
      <w:r>
        <w:rPr>
          <w:rFonts w:ascii="Times New Roman" w:hAnsi="Times New Roman"/>
          <w:color w:val="000000"/>
          <w:sz w:val="24"/>
          <w:szCs w:val="24"/>
        </w:rPr>
        <w:t>ca é uma importante proposta, educa o nosso olhar e sentidos para o reconhecimento das diversas formas de desenvolvimento matemático em diferentes culturas. Acreditamos que essa seja uma das possibilidades de fazer do ambiente escolar instituições que real</w:t>
      </w:r>
      <w:r>
        <w:rPr>
          <w:rFonts w:ascii="Times New Roman" w:hAnsi="Times New Roman"/>
          <w:color w:val="000000"/>
          <w:sz w:val="24"/>
          <w:szCs w:val="24"/>
        </w:rPr>
        <w:t xml:space="preserve">mente promova a cidadania ampliando o repertório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sociocultural dos sujeitos, combatendo todas as práticas excludentes, eliminando discriminações e desigualdades sociais, efetivando a educação para as relações etnorraciais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67159" w:rsidRDefault="00C67159">
      <w:pPr>
        <w:rPr>
          <w:sz w:val="24"/>
          <w:szCs w:val="24"/>
        </w:rPr>
      </w:pPr>
    </w:p>
    <w:p w:rsidR="00C67159" w:rsidRDefault="00A966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 Bibliográfica</w:t>
      </w:r>
    </w:p>
    <w:p w:rsidR="00C67159" w:rsidRDefault="00A966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DANTE, </w:t>
      </w:r>
      <w:r>
        <w:rPr>
          <w:rFonts w:ascii="Times New Roman" w:hAnsi="Times New Roman"/>
          <w:sz w:val="24"/>
          <w:szCs w:val="24"/>
        </w:rPr>
        <w:t xml:space="preserve">L.R. Uma proposta para mudanças nas ênfases ora dominantes no ensino de matemática. Brasília, Revista do professor de matemática, 1987. FERNANDES, Sueli Fátima Homon. </w:t>
      </w:r>
      <w:r>
        <w:rPr>
          <w:rFonts w:ascii="Times New Roman" w:hAnsi="Times New Roman"/>
          <w:b/>
          <w:sz w:val="24"/>
          <w:szCs w:val="24"/>
        </w:rPr>
        <w:t>As frações dia-a-dia- operações</w:t>
      </w:r>
      <w:r>
        <w:rPr>
          <w:rFonts w:ascii="Times New Roman" w:hAnsi="Times New Roman"/>
          <w:sz w:val="24"/>
          <w:szCs w:val="24"/>
        </w:rPr>
        <w:t>. Ponta Grossa. 2008. Disponível em:&lt; http://www.diaadiaed</w:t>
      </w:r>
      <w:r>
        <w:rPr>
          <w:rFonts w:ascii="Times New Roman" w:hAnsi="Times New Roman"/>
          <w:sz w:val="24"/>
          <w:szCs w:val="24"/>
        </w:rPr>
        <w:t>ucacao.pr.gov.br/portals/pde/arquivos/48-2.pdf&gt;. Acesso em: 11 de maio de 2017.</w:t>
      </w:r>
    </w:p>
    <w:p w:rsidR="00C67159" w:rsidRDefault="00C67159">
      <w:pPr>
        <w:rPr>
          <w:rFonts w:ascii="Times New Roman" w:hAnsi="Times New Roman"/>
          <w:color w:val="000000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D’AMBROSIO, Ubiratan. </w:t>
      </w:r>
      <w:r>
        <w:rPr>
          <w:rFonts w:ascii="Times New Roman" w:hAnsi="Times New Roman"/>
          <w:b/>
          <w:color w:val="000000"/>
        </w:rPr>
        <w:t>Etnomatemática- Arte ou técnica de explicar e conhecer</w:t>
      </w:r>
      <w:r>
        <w:rPr>
          <w:rFonts w:ascii="Times New Roman" w:hAnsi="Times New Roman"/>
          <w:color w:val="000000"/>
        </w:rPr>
        <w:t>. 5ª ed. Editora Ática. Série Fundamento. 1998.</w:t>
      </w:r>
    </w:p>
    <w:p w:rsidR="00C67159" w:rsidRDefault="00C67159">
      <w:pPr>
        <w:rPr>
          <w:rFonts w:ascii="Times New Roman" w:hAnsi="Times New Roman"/>
          <w:color w:val="000000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D’AMBROSIO, Ubiratan. </w:t>
      </w:r>
      <w:r>
        <w:rPr>
          <w:rFonts w:ascii="Times New Roman" w:hAnsi="Times New Roman"/>
          <w:b/>
          <w:color w:val="000000"/>
        </w:rPr>
        <w:t>Educação Matemática- Da Teor</w:t>
      </w:r>
      <w:r>
        <w:rPr>
          <w:rFonts w:ascii="Times New Roman" w:hAnsi="Times New Roman"/>
          <w:b/>
          <w:color w:val="000000"/>
        </w:rPr>
        <w:t>ia a Prática</w:t>
      </w:r>
      <w:r>
        <w:rPr>
          <w:rFonts w:ascii="Times New Roman" w:hAnsi="Times New Roman"/>
          <w:color w:val="000000"/>
        </w:rPr>
        <w:t>. 23ª ed. Editora Papirus. Perspectivas em educação matemática-SBEM. 2014.</w:t>
      </w:r>
    </w:p>
    <w:p w:rsidR="00C67159" w:rsidRDefault="00C67159">
      <w:pPr>
        <w:rPr>
          <w:rFonts w:ascii="Times New Roman" w:hAnsi="Times New Roman"/>
          <w:color w:val="000000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D’AMBROSIO, Ubiratan. </w:t>
      </w:r>
      <w:r>
        <w:rPr>
          <w:rFonts w:ascii="Times New Roman" w:hAnsi="Times New Roman"/>
          <w:b/>
          <w:color w:val="000000"/>
        </w:rPr>
        <w:t>Elo entre as tradições e a modernidade</w:t>
      </w:r>
      <w:r>
        <w:rPr>
          <w:rFonts w:ascii="Times New Roman" w:hAnsi="Times New Roman"/>
          <w:color w:val="000000"/>
        </w:rPr>
        <w:t>. 5ª ed. Editora Autêntica. Coleção Tenências em Educação Matemática. 2015</w:t>
      </w: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GOMES, Nilma Lino. A questão racial na escola: desafios colocados pela implementação da Lei 10.639/03. In: MOREIRA, Flavio Antonio&amp; CANDAU, Vera Maria (orgs), </w:t>
      </w:r>
      <w:r>
        <w:rPr>
          <w:rFonts w:ascii="Times New Roman" w:hAnsi="Times New Roman"/>
          <w:b/>
          <w:color w:val="000000"/>
        </w:rPr>
        <w:t>Multiculturalismo: Diferenças Culturais e Práticas Pedagógicas</w:t>
      </w:r>
      <w:r>
        <w:rPr>
          <w:rFonts w:ascii="Times New Roman" w:hAnsi="Times New Roman"/>
          <w:color w:val="000000"/>
        </w:rPr>
        <w:t>. 7ª ed. Petrópolis, RJ: Editora Vo</w:t>
      </w:r>
      <w:r>
        <w:rPr>
          <w:rFonts w:ascii="Times New Roman" w:hAnsi="Times New Roman"/>
          <w:color w:val="000000"/>
        </w:rPr>
        <w:t>zes, 2011. p. 67-89.</w:t>
      </w:r>
    </w:p>
    <w:p w:rsidR="00C67159" w:rsidRDefault="00C67159">
      <w:pPr>
        <w:rPr>
          <w:rFonts w:ascii="Times New Roman" w:hAnsi="Times New Roman"/>
          <w:color w:val="000000"/>
        </w:rPr>
      </w:pPr>
    </w:p>
    <w:p w:rsidR="00C67159" w:rsidRDefault="00A96601">
      <w:pPr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GOMES, Nilma Lino. Diversidade cultural, currículo e questão racial: desafios para a prática pedagógica. In: ABRAMOWICZ, Anete (0rg), </w:t>
      </w:r>
      <w:r>
        <w:rPr>
          <w:rFonts w:ascii="Times New Roman" w:eastAsia="Times New Roman" w:hAnsi="Times New Roman"/>
          <w:b/>
          <w:color w:val="000000"/>
          <w:lang w:eastAsia="pt-BR"/>
        </w:rPr>
        <w:t>Educação como Prática da Diferença</w:t>
      </w:r>
      <w:r>
        <w:rPr>
          <w:rFonts w:ascii="Times New Roman" w:eastAsia="Times New Roman" w:hAnsi="Times New Roman"/>
          <w:color w:val="000000"/>
          <w:lang w:eastAsia="pt-BR"/>
        </w:rPr>
        <w:t>, São Paulo: Armazém do Ipê: Autores Associados, 2006, p. 21-40.</w:t>
      </w:r>
    </w:p>
    <w:p w:rsidR="00C67159" w:rsidRDefault="00C67159">
      <w:pPr>
        <w:rPr>
          <w:rFonts w:ascii="Times New Roman" w:eastAsia="Times New Roman" w:hAnsi="Times New Roman"/>
          <w:color w:val="000000"/>
          <w:lang w:eastAsia="pt-BR"/>
        </w:rPr>
      </w:pP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LIMA, Heloísa Pires; GENKA, Georges; LEMOS, Mário; </w:t>
      </w:r>
      <w:r>
        <w:rPr>
          <w:rFonts w:ascii="Times New Roman" w:hAnsi="Times New Roman"/>
          <w:b/>
          <w:color w:val="000000"/>
        </w:rPr>
        <w:t>A semente que veio da África; São Paulo</w:t>
      </w:r>
      <w:r>
        <w:rPr>
          <w:rFonts w:ascii="Times New Roman" w:hAnsi="Times New Roman"/>
          <w:color w:val="000000"/>
        </w:rPr>
        <w:t>: Salamandra 3ª edição, 2005.</w:t>
      </w:r>
    </w:p>
    <w:p w:rsidR="00C67159" w:rsidRDefault="00C67159">
      <w:pPr>
        <w:rPr>
          <w:rFonts w:ascii="Times New Roman" w:hAnsi="Times New Roman"/>
          <w:color w:val="000000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LOPES, Véra Neusa. Mankala: Jogo de tabuleiro de origem africana explora valores e habilidades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Revista do Professor</w:t>
      </w:r>
      <w:r>
        <w:rPr>
          <w:rFonts w:ascii="Times New Roman" w:hAnsi="Times New Roman"/>
          <w:color w:val="000000"/>
        </w:rPr>
        <w:t xml:space="preserve">; Ano 24; nº 96; </w:t>
      </w:r>
      <w:r>
        <w:rPr>
          <w:rFonts w:ascii="Times New Roman" w:hAnsi="Times New Roman"/>
          <w:color w:val="000000"/>
        </w:rPr>
        <w:t>Porto Alegre; out./dez. 2008 p. 13-18.</w:t>
      </w:r>
    </w:p>
    <w:p w:rsidR="00C67159" w:rsidRDefault="00C67159">
      <w:pPr>
        <w:rPr>
          <w:rFonts w:ascii="Times New Roman" w:hAnsi="Times New Roman"/>
          <w:b/>
        </w:rPr>
      </w:pPr>
    </w:p>
    <w:p w:rsidR="00C67159" w:rsidRDefault="00A9660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MARIM, Vlademir; BARBOSA, Ana Carolina Igawa; Jogos matemáticos- Uma proposta para o ensino das operações elementares; In: </w:t>
      </w:r>
      <w:r>
        <w:rPr>
          <w:rFonts w:ascii="Times New Roman" w:hAnsi="Times New Roman"/>
          <w:b/>
        </w:rPr>
        <w:t>Educação matemática- contextos e práticas docentes</w:t>
      </w:r>
      <w:r>
        <w:rPr>
          <w:rFonts w:ascii="Times New Roman" w:hAnsi="Times New Roman"/>
        </w:rPr>
        <w:t>; (org)OLIVEIRA, Cristiane Coppe de. MARIM,</w:t>
      </w:r>
      <w:r>
        <w:rPr>
          <w:rFonts w:ascii="Times New Roman" w:hAnsi="Times New Roman"/>
        </w:rPr>
        <w:t xml:space="preserve"> Vlademir; Campinas- SP; Editora Alíenea, 2014. 2ª edição. P.223-238.</w:t>
      </w:r>
    </w:p>
    <w:p w:rsidR="00C67159" w:rsidRDefault="00C67159">
      <w:pPr>
        <w:pStyle w:val="PargrafodaLista"/>
        <w:ind w:left="0"/>
        <w:rPr>
          <w:rFonts w:ascii="Times New Roman" w:hAnsi="Times New Roman"/>
          <w:b/>
          <w:color w:val="000000"/>
          <w:lang w:val="pt-BR"/>
        </w:rPr>
      </w:pPr>
    </w:p>
    <w:p w:rsidR="00C67159" w:rsidRDefault="00C67159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C67159" w:rsidRDefault="00A96601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MUNANGA, Kabengele (org), </w:t>
      </w:r>
      <w:r>
        <w:rPr>
          <w:rFonts w:ascii="Times New Roman" w:hAnsi="Times New Roman"/>
          <w:b/>
          <w:color w:val="000000"/>
          <w:lang w:val="pt-BR"/>
        </w:rPr>
        <w:t>Superando o Racismo na escola</w:t>
      </w:r>
      <w:r>
        <w:rPr>
          <w:rFonts w:ascii="Times New Roman" w:hAnsi="Times New Roman"/>
          <w:color w:val="000000"/>
          <w:lang w:val="pt-BR"/>
        </w:rPr>
        <w:t>.2ª ed., Brasília: Ministério da Educação, Secretaria da Educação Continuada e Diversidade, 2008, p.11-16.</w:t>
      </w:r>
    </w:p>
    <w:p w:rsidR="00C67159" w:rsidRDefault="00C67159">
      <w:pPr>
        <w:pStyle w:val="PargrafodaLista"/>
        <w:ind w:left="0"/>
        <w:rPr>
          <w:rFonts w:ascii="Times New Roman" w:hAnsi="Times New Roman"/>
          <w:b/>
          <w:color w:val="000000"/>
          <w:lang w:val="pt-BR"/>
        </w:rPr>
      </w:pPr>
    </w:p>
    <w:p w:rsidR="00C67159" w:rsidRDefault="00C67159">
      <w:pPr>
        <w:pStyle w:val="PargrafodaLista"/>
        <w:ind w:left="0"/>
        <w:rPr>
          <w:rFonts w:ascii="Times New Roman" w:hAnsi="Times New Roman"/>
          <w:b/>
          <w:color w:val="000000"/>
          <w:lang w:val="pt-BR"/>
        </w:rPr>
      </w:pPr>
    </w:p>
    <w:p w:rsidR="00C67159" w:rsidRDefault="00A9660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OLIVEIRA, Cristiane Coppe. </w:t>
      </w:r>
      <w:r>
        <w:rPr>
          <w:rFonts w:ascii="Times New Roman" w:hAnsi="Times New Roman"/>
          <w:b/>
          <w:color w:val="000000"/>
        </w:rPr>
        <w:t>Saberes e fazeres etnomatemáticos de matriz africana</w:t>
      </w:r>
      <w:r>
        <w:rPr>
          <w:rFonts w:ascii="Times New Roman" w:hAnsi="Times New Roman"/>
          <w:color w:val="000000"/>
        </w:rPr>
        <w:t>/ Rio de Janeiro:CEAP,2012.</w:t>
      </w:r>
    </w:p>
    <w:p w:rsidR="00C67159" w:rsidRDefault="00C67159">
      <w:pPr>
        <w:pStyle w:val="PargrafodaLista"/>
        <w:ind w:left="0"/>
        <w:rPr>
          <w:rFonts w:ascii="Times New Roman" w:hAnsi="Times New Roman"/>
          <w:b/>
          <w:color w:val="000000"/>
          <w:lang w:val="pt-BR"/>
        </w:rPr>
      </w:pPr>
    </w:p>
    <w:p w:rsidR="00C67159" w:rsidRDefault="00A966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PEREIRA, Rivaldo Pervidor; CUNHA JUNIOR, Henrique- </w:t>
      </w:r>
      <w:r>
        <w:rPr>
          <w:rFonts w:ascii="Times New Roman" w:hAnsi="Times New Roman"/>
          <w:b/>
        </w:rPr>
        <w:t>Mancala- O jogo africana no ensino da matemática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</w:rPr>
        <w:t>Ed. Appris, Curitiba-PR. 2016.</w:t>
      </w:r>
    </w:p>
    <w:p w:rsidR="00C67159" w:rsidRDefault="00C67159">
      <w:pPr>
        <w:rPr>
          <w:rFonts w:ascii="Times New Roman" w:hAnsi="Times New Roman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POWELL, Arthur B</w:t>
      </w:r>
      <w:r>
        <w:rPr>
          <w:rFonts w:ascii="Times New Roman" w:hAnsi="Times New Roman"/>
          <w:color w:val="000000"/>
        </w:rPr>
        <w:t xml:space="preserve">.; TEMPLE, Oshon L. </w:t>
      </w:r>
      <w:r>
        <w:rPr>
          <w:rFonts w:ascii="Times New Roman" w:hAnsi="Times New Roman"/>
          <w:b/>
          <w:color w:val="000000"/>
        </w:rPr>
        <w:t>Semeando Etnomatemática com Oware: Sankofa.</w:t>
      </w:r>
      <w:r>
        <w:rPr>
          <w:rFonts w:ascii="Times New Roman" w:hAnsi="Times New Roman"/>
          <w:color w:val="000000"/>
        </w:rPr>
        <w:t xml:space="preserve"> Boletim GEPEM, Rio de Janeiro: nº 40, p. 91-106, ago. /2002.</w:t>
      </w: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</w:p>
    <w:p w:rsidR="00C67159" w:rsidRDefault="00A96601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PPP- ESCOLA PLURICULTURAL ODÉ KAYODÊ-2016.</w:t>
      </w: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</w:p>
    <w:p w:rsidR="00C67159" w:rsidRDefault="00C67159">
      <w:pPr>
        <w:pStyle w:val="PargrafodaLista"/>
        <w:ind w:left="0"/>
        <w:rPr>
          <w:rFonts w:ascii="Times New Roman" w:hAnsi="Times New Roman"/>
          <w:color w:val="000000"/>
          <w:lang w:val="pt-BR"/>
        </w:rPr>
      </w:pPr>
    </w:p>
    <w:p w:rsidR="00C67159" w:rsidRDefault="00A9660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VERGANI, Teresa. </w:t>
      </w:r>
      <w:r>
        <w:rPr>
          <w:rFonts w:ascii="Times New Roman" w:hAnsi="Times New Roman"/>
          <w:b/>
          <w:color w:val="000000"/>
        </w:rPr>
        <w:t>Educação Etnomatemática: o que é?</w:t>
      </w:r>
      <w:r>
        <w:rPr>
          <w:rFonts w:ascii="Times New Roman" w:hAnsi="Times New Roman"/>
          <w:color w:val="000000"/>
        </w:rPr>
        <w:t>; Ed. Flecha do Tempo, Natal, 2007</w:t>
      </w:r>
      <w:r>
        <w:rPr>
          <w:rFonts w:ascii="Times New Roman" w:hAnsi="Times New Roman"/>
          <w:color w:val="000000"/>
        </w:rPr>
        <w:t>.</w:t>
      </w:r>
    </w:p>
    <w:p w:rsidR="00C67159" w:rsidRDefault="00C67159">
      <w:pPr>
        <w:pStyle w:val="PargrafodaLista"/>
        <w:ind w:left="0"/>
      </w:pPr>
    </w:p>
    <w:sectPr w:rsidR="00C67159">
      <w:footerReference w:type="default" r:id="rId9"/>
      <w:pgSz w:w="11906" w:h="16838"/>
      <w:pgMar w:top="1701" w:right="1134" w:bottom="1134" w:left="170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01" w:rsidRDefault="00A96601">
      <w:pPr>
        <w:spacing w:after="0" w:line="240" w:lineRule="auto"/>
      </w:pPr>
      <w:r>
        <w:separator/>
      </w:r>
    </w:p>
  </w:endnote>
  <w:endnote w:type="continuationSeparator" w:id="0">
    <w:p w:rsidR="00A96601" w:rsidRDefault="00A9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59" w:rsidRDefault="00A96601">
    <w:pPr>
      <w:pStyle w:val="Rodap"/>
    </w:pPr>
    <w:r>
      <w:t>[Digite aqui]</w:t>
    </w:r>
  </w:p>
  <w:p w:rsidR="00C67159" w:rsidRDefault="00C671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01" w:rsidRDefault="00A96601">
      <w:r>
        <w:separator/>
      </w:r>
    </w:p>
  </w:footnote>
  <w:footnote w:type="continuationSeparator" w:id="0">
    <w:p w:rsidR="00A96601" w:rsidRDefault="00A96601">
      <w:r>
        <w:continuationSeparator/>
      </w:r>
    </w:p>
  </w:footnote>
  <w:footnote w:id="1">
    <w:p w:rsidR="00C67159" w:rsidRDefault="00A96601">
      <w:pPr>
        <w:pStyle w:val="Notaderodap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Artigo realizado para integralização dos créditos da Especialização em Educação Matemática da UEG Campus Cora Coralina/ 2017.</w:t>
      </w:r>
    </w:p>
  </w:footnote>
  <w:footnote w:id="2">
    <w:p w:rsidR="00C67159" w:rsidRDefault="00A96601">
      <w:pPr>
        <w:pStyle w:val="Notaderodap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Graduada em Licenciatura em </w:t>
      </w:r>
      <w:r>
        <w:t>Matemática/UEG; Especialista em Gênero e Diversidade/ UFG; Especializando em Educação Matemática/ UEG; Professora da UFG, da Escola Pluricultural Odé Kayodê e oficineira do Espaço Cultural Vila Esperança.</w:t>
      </w:r>
    </w:p>
  </w:footnote>
  <w:footnote w:id="3">
    <w:p w:rsidR="00C67159" w:rsidRDefault="00A96601">
      <w:pPr>
        <w:pStyle w:val="Notaderodap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t>Licenciado em Matemática (UFG), Mestre em Educação em Ciências e Matemática pela Universidade Federal de Goiás (UFG) e Doutor em Educação Matemática pela (UNESP/RIO CLARO) . Professor do Curso de Licenciatura em Matemática da Universidade Estadual de Goiás</w:t>
      </w:r>
      <w:r>
        <w:t xml:space="preserve"> (UEG) Campus de Quirinópolis. Professor colaborador no Programa de Pós-graduação Stricto Sensu Educação em Ciências e Matemática UFG. Coordenador de Gestão PIBID-UEG. Coordenador Laboratório Interdisciplinar de Formação de Educadores - LIFE UEG Campus Qui</w:t>
      </w:r>
      <w:r>
        <w:t xml:space="preserve">rinópolis. E atualmente faz parte da Equipe PRODOCENCIA PRG UEG.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9C2"/>
    <w:multiLevelType w:val="multilevel"/>
    <w:tmpl w:val="63F4E766"/>
    <w:lvl w:ilvl="0">
      <w:start w:val="1"/>
      <w:numFmt w:val="decimal"/>
      <w:pStyle w:val="Ttulododocumento"/>
      <w:lvlText w:val="%1."/>
      <w:lvlJc w:val="left"/>
      <w:pPr>
        <w:ind w:left="4188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59096A6C"/>
    <w:multiLevelType w:val="multilevel"/>
    <w:tmpl w:val="FF2028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59"/>
    <w:rsid w:val="00A96601"/>
    <w:rsid w:val="00C67159"/>
    <w:rsid w:val="00E1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</w:style>
  <w:style w:type="paragraph" w:styleId="Ttulo1">
    <w:name w:val="heading 1"/>
    <w:basedOn w:val="Normal"/>
    <w:link w:val="Ttulo1Char"/>
    <w:uiPriority w:val="9"/>
    <w:qFormat/>
    <w:rsid w:val="00CC6A95"/>
    <w:pPr>
      <w:outlineLvl w:val="0"/>
    </w:pPr>
  </w:style>
  <w:style w:type="paragraph" w:styleId="Ttulo2">
    <w:name w:val="heading 2"/>
    <w:basedOn w:val="Normal"/>
    <w:link w:val="Ttulo2Char"/>
    <w:uiPriority w:val="9"/>
    <w:qFormat/>
    <w:rsid w:val="00CC6A95"/>
    <w:pPr>
      <w:outlineLvl w:val="1"/>
    </w:pPr>
  </w:style>
  <w:style w:type="paragraph" w:styleId="Ttulo4">
    <w:name w:val="heading 4"/>
    <w:basedOn w:val="Normal"/>
    <w:link w:val="Ttulo4Char"/>
    <w:uiPriority w:val="9"/>
    <w:qFormat/>
    <w:rsid w:val="00CC6A95"/>
    <w:p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uiPriority w:val="10"/>
    <w:rsid w:val="00CC6A95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C6A95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C6A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C6A9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6A95"/>
    <w:rPr>
      <w:b/>
      <w:bCs/>
    </w:rPr>
  </w:style>
  <w:style w:type="character" w:customStyle="1" w:styleId="apple-converted-space">
    <w:name w:val="apple-converted-space"/>
    <w:basedOn w:val="Fontepargpadro"/>
    <w:rsid w:val="00CC6A95"/>
  </w:style>
  <w:style w:type="character" w:customStyle="1" w:styleId="skimlinks-unlinked">
    <w:name w:val="skimlinks-unlinked"/>
    <w:basedOn w:val="Fontepargpadro"/>
    <w:rsid w:val="00CC6A95"/>
  </w:style>
  <w:style w:type="character" w:styleId="Refdecomentrio">
    <w:name w:val="annotation reference"/>
    <w:basedOn w:val="Fontepargpadro"/>
    <w:uiPriority w:val="99"/>
    <w:semiHidden/>
    <w:unhideWhenUsed/>
    <w:rsid w:val="00441B7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1B7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1B74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B7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0E6F4B"/>
  </w:style>
  <w:style w:type="character" w:customStyle="1" w:styleId="RodapChar">
    <w:name w:val="Rodapé Char"/>
    <w:basedOn w:val="Fontepargpadro"/>
    <w:link w:val="Rodap"/>
    <w:uiPriority w:val="99"/>
    <w:rsid w:val="000E6F4B"/>
  </w:style>
  <w:style w:type="character" w:customStyle="1" w:styleId="TextodenotadefimChar">
    <w:name w:val="Texto de nota de fim Char"/>
    <w:basedOn w:val="Fontepargpadro"/>
    <w:link w:val="Textodenotadefim"/>
    <w:uiPriority w:val="99"/>
    <w:rsid w:val="008B750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B7504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E731B9"/>
    <w:rPr>
      <w:color w:val="0563C1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53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531A"/>
    <w:rPr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next w:val="Normal"/>
    <w:uiPriority w:val="10"/>
    <w:qFormat/>
    <w:rsid w:val="00CC6A95"/>
    <w:pPr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CC6A95"/>
    <w:pPr>
      <w:spacing w:after="0" w:line="240" w:lineRule="auto"/>
      <w:ind w:left="720"/>
      <w:contextualSpacing/>
      <w:jc w:val="both"/>
    </w:pPr>
    <w:rPr>
      <w:rFonts w:eastAsia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CC6A95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1B7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441B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B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6F4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E6F4B"/>
    <w:pPr>
      <w:tabs>
        <w:tab w:val="center" w:pos="4252"/>
        <w:tab w:val="right" w:pos="8504"/>
      </w:tabs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unhideWhenUsed/>
    <w:rsid w:val="008B7504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260453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531A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4B43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</w:style>
  <w:style w:type="paragraph" w:styleId="Ttulo1">
    <w:name w:val="heading 1"/>
    <w:basedOn w:val="Normal"/>
    <w:link w:val="Ttulo1Char"/>
    <w:uiPriority w:val="9"/>
    <w:qFormat/>
    <w:rsid w:val="00CC6A95"/>
    <w:pPr>
      <w:outlineLvl w:val="0"/>
    </w:pPr>
  </w:style>
  <w:style w:type="paragraph" w:styleId="Ttulo2">
    <w:name w:val="heading 2"/>
    <w:basedOn w:val="Normal"/>
    <w:link w:val="Ttulo2Char"/>
    <w:uiPriority w:val="9"/>
    <w:qFormat/>
    <w:rsid w:val="00CC6A95"/>
    <w:pPr>
      <w:outlineLvl w:val="1"/>
    </w:pPr>
  </w:style>
  <w:style w:type="paragraph" w:styleId="Ttulo4">
    <w:name w:val="heading 4"/>
    <w:basedOn w:val="Normal"/>
    <w:link w:val="Ttulo4Char"/>
    <w:uiPriority w:val="9"/>
    <w:qFormat/>
    <w:rsid w:val="00CC6A95"/>
    <w:p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uiPriority w:val="10"/>
    <w:rsid w:val="00CC6A95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C6A95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C6A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C6A9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6A95"/>
    <w:rPr>
      <w:b/>
      <w:bCs/>
    </w:rPr>
  </w:style>
  <w:style w:type="character" w:customStyle="1" w:styleId="apple-converted-space">
    <w:name w:val="apple-converted-space"/>
    <w:basedOn w:val="Fontepargpadro"/>
    <w:rsid w:val="00CC6A95"/>
  </w:style>
  <w:style w:type="character" w:customStyle="1" w:styleId="skimlinks-unlinked">
    <w:name w:val="skimlinks-unlinked"/>
    <w:basedOn w:val="Fontepargpadro"/>
    <w:rsid w:val="00CC6A95"/>
  </w:style>
  <w:style w:type="character" w:styleId="Refdecomentrio">
    <w:name w:val="annotation reference"/>
    <w:basedOn w:val="Fontepargpadro"/>
    <w:uiPriority w:val="99"/>
    <w:semiHidden/>
    <w:unhideWhenUsed/>
    <w:rsid w:val="00441B7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1B7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1B74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B7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0E6F4B"/>
  </w:style>
  <w:style w:type="character" w:customStyle="1" w:styleId="RodapChar">
    <w:name w:val="Rodapé Char"/>
    <w:basedOn w:val="Fontepargpadro"/>
    <w:link w:val="Rodap"/>
    <w:uiPriority w:val="99"/>
    <w:rsid w:val="000E6F4B"/>
  </w:style>
  <w:style w:type="character" w:customStyle="1" w:styleId="TextodenotadefimChar">
    <w:name w:val="Texto de nota de fim Char"/>
    <w:basedOn w:val="Fontepargpadro"/>
    <w:link w:val="Textodenotadefim"/>
    <w:uiPriority w:val="99"/>
    <w:rsid w:val="008B750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B7504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E731B9"/>
    <w:rPr>
      <w:color w:val="0563C1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53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531A"/>
    <w:rPr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next w:val="Normal"/>
    <w:uiPriority w:val="10"/>
    <w:qFormat/>
    <w:rsid w:val="00CC6A95"/>
    <w:pPr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CC6A95"/>
    <w:pPr>
      <w:spacing w:after="0" w:line="240" w:lineRule="auto"/>
      <w:ind w:left="720"/>
      <w:contextualSpacing/>
      <w:jc w:val="both"/>
    </w:pPr>
    <w:rPr>
      <w:rFonts w:eastAsia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CC6A95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1B7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441B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B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6F4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E6F4B"/>
    <w:pPr>
      <w:tabs>
        <w:tab w:val="center" w:pos="4252"/>
        <w:tab w:val="right" w:pos="8504"/>
      </w:tabs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unhideWhenUsed/>
    <w:rsid w:val="008B7504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260453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531A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4B43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67A8-AD12-4D91-81C4-EE6C9CCA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4506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dricareboucas@hotmail.com</dc:creator>
  <cp:lastModifiedBy>Luciano Lima</cp:lastModifiedBy>
  <cp:revision>2</cp:revision>
  <dcterms:created xsi:type="dcterms:W3CDTF">2017-05-20T15:29:00Z</dcterms:created>
  <dcterms:modified xsi:type="dcterms:W3CDTF">2017-05-20T15:29:00Z</dcterms:modified>
  <dc:language>pt-BR</dc:language>
</cp:coreProperties>
</file>